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3B500D" w:rsidRDefault="00B90E64" w14:paraId="2CDB49B6" wp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¿Cómo resuelven los mexicanos </w:t>
      </w:r>
      <w:r>
        <w:br/>
      </w:r>
      <w:r>
        <w:rPr>
          <w:b/>
          <w:sz w:val="36"/>
          <w:szCs w:val="36"/>
        </w:rPr>
        <w:t xml:space="preserve">sus emergencias económicas? </w:t>
      </w:r>
    </w:p>
    <w:p xmlns:wp14="http://schemas.microsoft.com/office/word/2010/wordml" w:rsidR="003B500D" w:rsidRDefault="00B90E64" w14:paraId="647426EE" wp14:textId="4725E845">
      <w:pPr>
        <w:jc w:val="both"/>
      </w:pPr>
      <w:r w:rsidR="00B90E64">
        <w:rPr/>
        <w:t xml:space="preserve">CIUDAD DE MÉXICO. </w:t>
      </w:r>
      <w:r w:rsidR="6DD4BE02">
        <w:rPr/>
        <w:t xml:space="preserve">24 </w:t>
      </w:r>
      <w:r w:rsidR="00B90E64">
        <w:rPr/>
        <w:t xml:space="preserve">de abril de 2024.- En México, de acuerdo con el </w:t>
      </w:r>
      <w:hyperlink r:id="R17caede9609d4865">
        <w:r w:rsidRPr="3CF8AB2E" w:rsidR="00B90E64">
          <w:rPr>
            <w:color w:val="467886"/>
            <w:u w:val="single"/>
          </w:rPr>
          <w:t>Inegi,</w:t>
        </w:r>
      </w:hyperlink>
      <w:r w:rsidR="00B90E64">
        <w:rPr/>
        <w:t xml:space="preserve"> solo el 17.8% de la población adulta experimenta un bienestar financiero pleno; el resto, admiten que enfrentan emergencias económicas como una realidad cotidiana. Para muestra, los datos de la </w:t>
      </w:r>
      <w:hyperlink r:id="R166dab41e29a4932">
        <w:r w:rsidRPr="3CF8AB2E" w:rsidR="00B90E64">
          <w:rPr>
            <w:color w:val="467886"/>
            <w:u w:val="single"/>
          </w:rPr>
          <w:t>Encuesta Nacional de Salud Financiera (Ensafi) 2024</w:t>
        </w:r>
      </w:hyperlink>
      <w:r w:rsidR="00B90E64">
        <w:rPr/>
        <w:t xml:space="preserve"> que señalan que el 30.5% no tuvo dinero suficiente para cubrir sus gastos sin endeudarse, en el año.</w:t>
      </w:r>
    </w:p>
    <w:p xmlns:wp14="http://schemas.microsoft.com/office/word/2010/wordml" w:rsidR="003B500D" w:rsidRDefault="00B90E64" w14:paraId="3B06E9C6" wp14:textId="77777777">
      <w:pPr>
        <w:jc w:val="both"/>
      </w:pPr>
      <w:r>
        <w:t xml:space="preserve">Ante esta situación, el 33.7% de quienes enfrentaron dificultades financieras, según </w:t>
      </w:r>
      <w:hyperlink r:id="rId10">
        <w:r>
          <w:rPr>
            <w:color w:val="467886"/>
            <w:u w:val="single"/>
          </w:rPr>
          <w:t>Condusef,</w:t>
        </w:r>
      </w:hyperlink>
      <w:r>
        <w:t xml:space="preserve"> deciden no acudir hacia instituciones de confianza o plataformas de crédito digital; los préstamos familiares (19.3%) y entre amigos (13.6%) son la herramienta preferida de dicho porcentaje. Incluso, un 6.7% prefiere acudir a una casa de empeño. Solo el 10% recurren a las plataformas de crédito personal.</w:t>
      </w:r>
    </w:p>
    <w:p xmlns:wp14="http://schemas.microsoft.com/office/word/2010/wordml" w:rsidR="003B500D" w:rsidRDefault="00B90E64" w14:paraId="62542D17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confianza en el círculo cercano</w:t>
      </w:r>
    </w:p>
    <w:p xmlns:wp14="http://schemas.microsoft.com/office/word/2010/wordml" w:rsidR="003B500D" w:rsidRDefault="00B90E64" w14:paraId="7279F804" wp14:textId="77777777">
      <w:pPr>
        <w:jc w:val="both"/>
      </w:pPr>
      <w:r>
        <w:t xml:space="preserve">Lo anterior es reflejo de que pedir dinero prestado a familiares o amigos es una práctica común en México. Esta opción ofrece ventajas como la confianza y la inmediatez, ya que no requiere trámites burocráticos ni historial crediticio. Sin embargo, también conlleva riesgos. </w:t>
      </w:r>
    </w:p>
    <w:p xmlns:wp14="http://schemas.microsoft.com/office/word/2010/wordml" w:rsidR="003B500D" w:rsidRDefault="00B90E64" w14:paraId="7B64A21E" wp14:textId="77777777">
      <w:pPr>
        <w:jc w:val="both"/>
      </w:pPr>
      <w:hyperlink r:id="rId11">
        <w:r>
          <w:rPr>
            <w:color w:val="467886"/>
            <w:u w:val="single"/>
          </w:rPr>
          <w:t>Estudios</w:t>
        </w:r>
      </w:hyperlink>
      <w:r>
        <w:t xml:space="preserve"> indican que el 46% de las personas que prestan dinero a sus allegados experimentan experiencias negativas al cobrar. El 37% indican que el monto prestado nunca fue recuperado, mientras que el 21% señala que la relación con el prestatario simplemente se deterioró. </w:t>
      </w:r>
    </w:p>
    <w:p xmlns:wp14="http://schemas.microsoft.com/office/word/2010/wordml" w:rsidR="003B500D" w:rsidRDefault="00B90E64" w14:paraId="7FCA0491" wp14:textId="77777777">
      <w:pPr>
        <w:jc w:val="both"/>
      </w:pPr>
      <w:r>
        <w:t xml:space="preserve">Por otro lado, los créditos bancarios representan una alternativa formal para enfrentar emergencias económicas. Sin embargo, su acceso puede ser limitado debido a requisitos estrictos y procesos complejos. Además, las tasas de interés y comisiones pueden resultar elevadas, lo que dificulta el pago puntual y puede llevar a un endeudamiento excesivo. </w:t>
      </w:r>
    </w:p>
    <w:p xmlns:wp14="http://schemas.microsoft.com/office/word/2010/wordml" w:rsidR="003B500D" w:rsidRDefault="00B90E64" w14:paraId="32E2C285" wp14:textId="77777777">
      <w:pPr>
        <w:jc w:val="both"/>
      </w:pPr>
      <w:r>
        <w:t xml:space="preserve">De hecho, de acuerdo con la </w:t>
      </w:r>
      <w:hyperlink r:id="rId12">
        <w:r>
          <w:rPr>
            <w:color w:val="467886"/>
            <w:u w:val="single"/>
          </w:rPr>
          <w:t>ENIF,</w:t>
        </w:r>
      </w:hyperlink>
      <w:r>
        <w:t xml:space="preserve"> el 20.7% indica que el principal motivo por el que no acuden al crédito bancario es por no cumplir los requisitos, mientras que el 7.8% asegura que las comisiones y tasas son muy altas.</w:t>
      </w:r>
    </w:p>
    <w:p xmlns:wp14="http://schemas.microsoft.com/office/word/2010/wordml" w:rsidR="003B500D" w:rsidRDefault="00B90E64" w14:paraId="07A75540" wp14:textId="77777777">
      <w:pPr>
        <w:jc w:val="both"/>
      </w:pPr>
      <w:r>
        <w:t xml:space="preserve">En este contexto, los créditos digitales han ganado terreno como una opción accesible y eficiente. Estas plataformas utilizan algoritmos de aprendizaje automático para evaluar riesgos y calificar el crédito, lo que permite una aprobación más ágil y adaptada a las necesidades del usuario. </w:t>
      </w:r>
    </w:p>
    <w:p xmlns:wp14="http://schemas.microsoft.com/office/word/2010/wordml" w:rsidR="003B500D" w:rsidRDefault="00B90E64" w14:paraId="57392217" wp14:textId="77777777">
      <w:pPr>
        <w:jc w:val="both"/>
      </w:pPr>
      <w:r>
        <w:t xml:space="preserve">Empresas como PayJoy han desarrollado tecnologías que facilitan el acceso al crédito. Su sistema patentado permite a los usuarios obtener financiamiento de manera sencilla y segura. Además, su algoritmo avanzado ha logrado una tasa de aprobación superior al 98%, lo que brinda una alternativa confiable para quienes buscan resolver emergencias económicas sin comprometer sus relaciones personales ni enfrentar procesos complicados. </w:t>
      </w:r>
    </w:p>
    <w:p xmlns:wp14="http://schemas.microsoft.com/office/word/2010/wordml" w:rsidR="003B500D" w:rsidRDefault="00B90E64" w14:paraId="0B8C5DB6" wp14:textId="77777777">
      <w:pPr>
        <w:jc w:val="both"/>
      </w:pPr>
      <w:r>
        <w:t>Las emergencias económicas requieren soluciones rápidas y efectivas. Si bien pedir dinero a familiares o amigos puede parecer la opción más inmediata, conlleva riesgos que pueden afectar las relaciones personales. El crédito digital se presenta como una alternativa viable, con procesos ágiles y una mayor inclusión financiera. Con tecnologías innovadoras y un enfoque centrado en el usuario, la manera en que los mexicanos enfrentan sus emergencias económicas, evolucionó de manera sustancial.</w:t>
      </w:r>
    </w:p>
    <w:p xmlns:wp14="http://schemas.microsoft.com/office/word/2010/wordml" w:rsidR="003B500D" w:rsidRDefault="003B500D" w14:paraId="672A6659" wp14:textId="77777777">
      <w:pPr>
        <w:jc w:val="both"/>
      </w:pPr>
    </w:p>
    <w:p xmlns:wp14="http://schemas.microsoft.com/office/word/2010/wordml" w:rsidR="003B500D" w:rsidRDefault="00B90E64" w14:paraId="74001EDD" wp14:textId="77777777">
      <w:pPr>
        <w:spacing w:line="240" w:lineRule="auto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-o0o-</w:t>
      </w:r>
    </w:p>
    <w:p xmlns:wp14="http://schemas.microsoft.com/office/word/2010/wordml" w:rsidR="003B500D" w:rsidRDefault="00B90E64" w14:paraId="2047D199" wp14:textId="77777777">
      <w:pPr>
        <w:spacing w:line="240" w:lineRule="auto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Sobre PayJoy</w:t>
      </w:r>
      <w:r>
        <w:br/>
      </w:r>
      <w:r>
        <w:rPr>
          <w:rFonts w:ascii="Arial" w:hAnsi="Arial" w:eastAsia="Arial" w:cs="Arial"/>
          <w:color w:val="000000"/>
          <w:sz w:val="18"/>
          <w:szCs w:val="18"/>
        </w:rPr>
        <w:t>PayJoy es una plataforma digital de financiamiento que facilita el acceso a tecnología y soluciones financieras para personas en mercados emergentes. A través de un modelo de financiamiento basado en tecnología de punta, PayJoy permite a los consumidores adquirir smartphones de forma fácil y accesible, impulsando su inclusión financiera y contribuyendo a su bienestar económico. Con un enfoque en la transparencia y la responsabilidad, PayJoy se dedica a transformar el panorama del crédito en regiones en desa</w:t>
      </w:r>
      <w:r>
        <w:rPr>
          <w:rFonts w:ascii="Arial" w:hAnsi="Arial" w:eastAsia="Arial" w:cs="Arial"/>
          <w:color w:val="000000"/>
          <w:sz w:val="18"/>
          <w:szCs w:val="18"/>
        </w:rPr>
        <w:t>rrollo, ofreciendo soluciones adaptadas a las necesidades de cada usuario. Con un sólido historial de crecimiento y una visión clara para el futuro, PayJoy se posiciona como un líder en la transformación del crédito, proporcionando oportunidades de inversión atractivas en un sector con alta demanda.</w:t>
      </w:r>
    </w:p>
    <w:p xmlns:wp14="http://schemas.microsoft.com/office/word/2010/wordml" w:rsidR="003B500D" w:rsidRDefault="003B500D" w14:paraId="0A37501D" wp14:textId="77777777">
      <w:pPr>
        <w:jc w:val="both"/>
        <w:rPr>
          <w:color w:val="000000"/>
        </w:rPr>
      </w:pPr>
    </w:p>
    <w:p xmlns:wp14="http://schemas.microsoft.com/office/word/2010/wordml" w:rsidR="003B500D" w:rsidRDefault="003B500D" w14:paraId="5DAB6C7B" wp14:textId="77777777">
      <w:pPr>
        <w:jc w:val="both"/>
      </w:pPr>
    </w:p>
    <w:p xmlns:wp14="http://schemas.microsoft.com/office/word/2010/wordml" w:rsidR="003B500D" w:rsidRDefault="003B500D" w14:paraId="02EB378F" wp14:textId="77777777"/>
    <w:sectPr w:rsidR="003B500D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90E64" w:rsidRDefault="00B90E64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90E64" w:rsidRDefault="00B90E64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w:fontKey="{A0334D56-2720-4E83-903F-85E4CDD6BDAB}" r:id="rId1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w:fontKey="{E7F2BD3F-E6F2-4332-80F3-4AA662F24C13}" r:id="rId2"/>
    <w:embedBold w:fontKey="{9D4A23EA-32B8-4B21-B3B9-8F1DC2F007C8}" r:id="rId3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w:fontKey="{EC3485CF-3C0D-4EF6-991F-97CE7858ECD2}" r:id="rId4"/>
    <w:embedItalic w:fontKey="{78C20238-8450-42E4-95E9-032933D53F34}" r:id="rId5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w:fontKey="{7E884C22-A666-4137-BD69-C7D50C3CBDE1}" r:id="rId6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500D" w:rsidRDefault="003B500D" w14:paraId="3656B9AB" wp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xmlns:wp14="http://schemas.microsoft.com/office/word/2010/wordml" w:rsidR="003B500D" w14:paraId="45FB0818" wp14:textId="77777777">
      <w:trPr>
        <w:trHeight w:val="300"/>
      </w:trPr>
      <w:tc>
        <w:tcPr>
          <w:tcW w:w="3005" w:type="dxa"/>
        </w:tcPr>
        <w:p w:rsidR="003B500D" w:rsidRDefault="003B500D" w14:paraId="049F31CB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:rsidR="003B500D" w:rsidRDefault="003B500D" w14:paraId="53128261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3B500D" w:rsidRDefault="003B500D" w14:paraId="62486C05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xmlns:wp14="http://schemas.microsoft.com/office/word/2010/wordml" w:rsidR="003B500D" w:rsidRDefault="003B500D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90E64" w:rsidRDefault="00B90E64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90E64" w:rsidRDefault="00B90E64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3B500D" w:rsidRDefault="003B500D" w14:paraId="6A05A809" wp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xmlns:wp14="http://schemas.microsoft.com/office/word/2010/wordml" w:rsidR="003B500D" w14:paraId="5A39BBE3" wp14:textId="77777777">
      <w:trPr>
        <w:trHeight w:val="300"/>
      </w:trPr>
      <w:tc>
        <w:tcPr>
          <w:tcW w:w="3005" w:type="dxa"/>
        </w:tcPr>
        <w:p w:rsidR="003B500D" w:rsidRDefault="00B90E64" w14:paraId="41C8F396" wp14:textId="77777777">
          <w:pPr>
            <w:ind w:left="-115"/>
          </w:pPr>
          <w:r>
            <w:rPr>
              <w:noProof/>
            </w:rPr>
            <w:drawing>
              <wp:inline xmlns:wp14="http://schemas.microsoft.com/office/word/2010/wordprocessingDrawing" distT="0" distB="0" distL="114300" distR="114300" wp14:anchorId="0F37DF92" wp14:editId="7777777">
                <wp:extent cx="1685925" cy="285750"/>
                <wp:effectExtent l="0" t="0" r="0" b="0"/>
                <wp:docPr id="814763023" name="image1.png" descr="Imagen,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agen, Image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003B500D" w:rsidRDefault="003B500D" w14:paraId="72A3D3EC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3B500D" w:rsidRDefault="003B500D" w14:paraId="0D0B940D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xmlns:wp14="http://schemas.microsoft.com/office/word/2010/wordml" w:rsidR="003B500D" w:rsidRDefault="003B500D" w14:paraId="0E27B00A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45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9744109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TrueTypeFont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D"/>
    <w:rsid w:val="003B500D"/>
    <w:rsid w:val="007B37F5"/>
    <w:rsid w:val="00B90E64"/>
    <w:rsid w:val="3CF8AB2E"/>
    <w:rsid w:val="6DD4B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3AFD7"/>
  <w15:docId w15:val="{F31954C2-4036-4147-952B-866F12404B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Aptos"/>
        <w:sz w:val="24"/>
        <w:szCs w:val="24"/>
        <w:lang w:val="es-E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24BAFA1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3B1D149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53B1D14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3B1D14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inegi.org.mx/contenidos/programas/enif/2024/doc/enif_2024_resultados.pdf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bankrate.com/pdfs/pr/20190926-lending-money-survey.pdf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condusef.gob.mx/?p=contenido&amp;idc=965&amp;idcat=1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hyperlink" Target="https://www.inegi.org.mx/contenidos/saladeprensa/boletines/2024/ENSAFI/ENSAFI.pdf" TargetMode="External" Id="R17caede9609d4865" /><Relationship Type="http://schemas.openxmlformats.org/officeDocument/2006/relationships/hyperlink" Target="https://ensafi.condusef.gob.mx/pdf/IR-ENSAFI2023-CONDUSEF.pdf" TargetMode="External" Id="R166dab41e29a493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3vOvYgi1JFTm5HXGdoM1OReOA==">CgMxLjA4AHIhMTJhTjVMaW5VUjBZaVpQWjJsRlpGZFpicHZwd01uUUo1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Omar Ortega Jaime</dc:creator>
  <lastModifiedBy>Tanya Belmont Osornio</lastModifiedBy>
  <revision>2</revision>
  <dcterms:created xsi:type="dcterms:W3CDTF">2025-04-23T21:25:00.0000000Z</dcterms:created>
  <dcterms:modified xsi:type="dcterms:W3CDTF">2025-04-23T21:26:32.5068469Z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